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outlineLvl w:val="0"/>
        <w:rPr>
          <w:rFonts w:eastAsia="黑体"/>
          <w:szCs w:val="24"/>
        </w:rPr>
      </w:pPr>
      <w:r>
        <w:rPr>
          <w:rFonts w:hint="eastAsia" w:eastAsia="黑体"/>
          <w:szCs w:val="24"/>
        </w:rPr>
        <w:t>附件</w:t>
      </w:r>
    </w:p>
    <w:p>
      <w:pPr>
        <w:snapToGrid w:val="0"/>
        <w:spacing w:after="120" w:line="640" w:lineRule="exact"/>
        <w:ind w:left="640" w:firstLine="640" w:firstLineChars="200"/>
        <w:rPr>
          <w:rFonts w:eastAsia="仿宋_GB2312"/>
          <w:color w:val="000000"/>
          <w:kern w:val="0"/>
        </w:rPr>
      </w:pPr>
    </w:p>
    <w:p>
      <w:pPr>
        <w:spacing w:line="640" w:lineRule="exact"/>
        <w:jc w:val="center"/>
        <w:rPr>
          <w:rFonts w:eastAsia="方正小标宋简体"/>
          <w:sz w:val="44"/>
          <w:szCs w:val="44"/>
        </w:rPr>
      </w:pPr>
      <w:r>
        <w:rPr>
          <w:rFonts w:hint="eastAsia" w:eastAsia="方正小标宋简体"/>
          <w:sz w:val="44"/>
          <w:szCs w:val="44"/>
        </w:rPr>
        <w:t>山东省重点</w:t>
      </w:r>
      <w:bookmarkStart w:id="0" w:name="_GoBack"/>
      <w:bookmarkEnd w:id="0"/>
      <w:r>
        <w:rPr>
          <w:rFonts w:hint="eastAsia" w:eastAsia="方正小标宋简体"/>
          <w:sz w:val="44"/>
          <w:szCs w:val="44"/>
        </w:rPr>
        <w:t>工业企业无组织排放</w:t>
      </w:r>
    </w:p>
    <w:p>
      <w:pPr>
        <w:spacing w:line="640" w:lineRule="exact"/>
        <w:jc w:val="center"/>
        <w:rPr>
          <w:rFonts w:eastAsia="方正小标宋简体"/>
          <w:sz w:val="44"/>
          <w:szCs w:val="44"/>
        </w:rPr>
      </w:pPr>
      <w:r>
        <w:rPr>
          <w:rFonts w:hint="eastAsia" w:eastAsia="方正小标宋简体"/>
          <w:sz w:val="44"/>
          <w:szCs w:val="44"/>
        </w:rPr>
        <w:t>现场生态环境执法检查要点</w:t>
      </w:r>
    </w:p>
    <w:p>
      <w:pPr>
        <w:spacing w:line="640" w:lineRule="exact"/>
        <w:jc w:val="center"/>
        <w:rPr>
          <w:rFonts w:eastAsia="方正小标宋简体"/>
        </w:rPr>
      </w:pPr>
    </w:p>
    <w:tbl>
      <w:tblPr>
        <w:tblStyle w:val="2"/>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61"/>
        <w:gridCol w:w="1324"/>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ascii="黑体" w:hAnsi="黑体" w:eastAsia="黑体"/>
                <w:sz w:val="21"/>
                <w:szCs w:val="21"/>
              </w:rPr>
            </w:pPr>
            <w:r>
              <w:rPr>
                <w:rFonts w:hint="eastAsia" w:ascii="黑体" w:hAnsi="黑体" w:eastAsia="黑体"/>
                <w:sz w:val="21"/>
                <w:szCs w:val="21"/>
              </w:rPr>
              <w:t>类型</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源项</w:t>
            </w: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检查环节</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颗粒物</w:t>
            </w:r>
          </w:p>
        </w:tc>
        <w:tc>
          <w:tcPr>
            <w:tcW w:w="9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物料</w:t>
            </w:r>
          </w:p>
          <w:p>
            <w:pPr>
              <w:widowControl/>
              <w:spacing w:line="300" w:lineRule="exact"/>
              <w:jc w:val="center"/>
              <w:rPr>
                <w:rFonts w:ascii="黑体" w:hAnsi="黑体" w:eastAsia="黑体"/>
                <w:sz w:val="21"/>
                <w:szCs w:val="21"/>
              </w:rPr>
            </w:pPr>
            <w:r>
              <w:rPr>
                <w:rFonts w:hint="eastAsia" w:ascii="黑体" w:hAnsi="黑体" w:eastAsia="黑体"/>
                <w:sz w:val="21"/>
                <w:szCs w:val="21"/>
              </w:rPr>
              <w:t>储存</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1"/>
                <w:szCs w:val="21"/>
              </w:rPr>
            </w:pPr>
            <w:r>
              <w:rPr>
                <w:rFonts w:hint="eastAsia" w:ascii="黑体" w:hAnsi="黑体" w:eastAsia="黑体"/>
                <w:sz w:val="21"/>
                <w:szCs w:val="21"/>
              </w:rPr>
              <w:t>露天料场</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napToGrid w:val="0"/>
                <w:kern w:val="0"/>
                <w:sz w:val="21"/>
                <w:szCs w:val="21"/>
              </w:rPr>
            </w:pPr>
            <w:r>
              <w:rPr>
                <w:rFonts w:hint="eastAsia" w:ascii="黑体" w:hAnsi="黑体" w:eastAsia="黑体"/>
                <w:snapToGrid w:val="0"/>
                <w:kern w:val="0"/>
                <w:sz w:val="21"/>
                <w:szCs w:val="21"/>
              </w:rPr>
              <w:t>1.水泥、有色等行业矿石料场是否采用防风抑尘网，防风抑尘网高度是否高于料场堆存高度，堆存物料是否严密苫盖。</w:t>
            </w:r>
          </w:p>
          <w:p>
            <w:pPr>
              <w:widowControl/>
              <w:spacing w:line="300" w:lineRule="exact"/>
              <w:jc w:val="left"/>
              <w:rPr>
                <w:rFonts w:ascii="黑体" w:hAnsi="黑体" w:eastAsia="黑体"/>
                <w:snapToGrid w:val="0"/>
                <w:kern w:val="0"/>
                <w:sz w:val="21"/>
                <w:szCs w:val="21"/>
              </w:rPr>
            </w:pPr>
            <w:r>
              <w:rPr>
                <w:rFonts w:hint="eastAsia" w:ascii="黑体" w:hAnsi="黑体" w:eastAsia="黑体"/>
                <w:snapToGrid w:val="0"/>
                <w:kern w:val="0"/>
                <w:sz w:val="21"/>
                <w:szCs w:val="21"/>
              </w:rPr>
              <w:t>2.料场四周及顶部是否设置喷淋装置，喷淋范围是否覆盖整个料堆。</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3.赤泥堆场边坡是否采取覆土绿化或洒水等抑尘措施。</w:t>
            </w:r>
          </w:p>
          <w:p>
            <w:pPr>
              <w:widowControl/>
              <w:spacing w:line="300" w:lineRule="exact"/>
              <w:jc w:val="left"/>
              <w:rPr>
                <w:rFonts w:ascii="黑体" w:hAnsi="黑体" w:eastAsia="黑体"/>
                <w:sz w:val="21"/>
                <w:szCs w:val="21"/>
              </w:rPr>
            </w:pPr>
            <w:r>
              <w:rPr>
                <w:rFonts w:hint="eastAsia" w:ascii="黑体" w:hAnsi="黑体" w:eastAsia="黑体"/>
                <w:snapToGrid w:val="0"/>
                <w:kern w:val="0"/>
                <w:sz w:val="21"/>
                <w:szCs w:val="21"/>
              </w:rPr>
              <w:t>4.采矿行业原矿石是否进行苫盖，是否采取洒水或喷淋等抑尘措施。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封闭料棚</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石子、页岩、煤矸石、煤、粘土、矿渣、铁精矿、磷矿石、硫精矿、焦炭、石油焦、煅后焦、烧结矿、球团矿、石灰石、白云石、铁合金、钢渣等块状、粒状或粘湿物料是否存储于封闭料棚内，料棚内是否设有喷淋装置，喷淋范围是否覆盖整个料堆。</w:t>
            </w:r>
          </w:p>
          <w:p>
            <w:pPr>
              <w:widowControl/>
              <w:spacing w:line="300" w:lineRule="exact"/>
              <w:jc w:val="left"/>
              <w:rPr>
                <w:rFonts w:ascii="黑体" w:hAnsi="黑体" w:eastAsia="黑体"/>
                <w:sz w:val="21"/>
                <w:szCs w:val="21"/>
              </w:rPr>
            </w:pPr>
            <w:r>
              <w:rPr>
                <w:rFonts w:hint="eastAsia" w:ascii="黑体" w:hAnsi="黑体" w:eastAsia="黑体"/>
                <w:sz w:val="21"/>
                <w:szCs w:val="21"/>
              </w:rPr>
              <w:t>2.所储存物料对含水率有严格要求或遇水发生变化的，是否在料棚内安装有效集尘除尘设施。</w:t>
            </w:r>
          </w:p>
          <w:p>
            <w:pPr>
              <w:widowControl/>
              <w:spacing w:line="300" w:lineRule="exact"/>
              <w:jc w:val="left"/>
              <w:rPr>
                <w:rFonts w:ascii="黑体" w:hAnsi="黑体" w:eastAsia="黑体"/>
                <w:sz w:val="21"/>
                <w:szCs w:val="21"/>
              </w:rPr>
            </w:pPr>
            <w:r>
              <w:rPr>
                <w:rFonts w:hint="eastAsia" w:ascii="黑体" w:hAnsi="黑体" w:eastAsia="黑体"/>
                <w:sz w:val="21"/>
                <w:szCs w:val="21"/>
              </w:rPr>
              <w:t>3.料棚进出口是否安装封闭性良好且便于开关的卷帘门、推拉门或自动感应门等，在无车辆通过时是否将门关闭。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密闭料仓、储罐</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煤粉、粉煤灰、石灰、除尘灰、脱硫灰等粉状物料是否储存于密闭料仓、储罐内，并配置高效除尘设施。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密闭容器、包装袋</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1.容器或包装袋在非取用状态时是否加盖、封口，保持密闭；盛装过干粉物料的废包装容器是否加盖密闭。</w:t>
            </w:r>
          </w:p>
          <w:p>
            <w:pPr>
              <w:widowControl/>
              <w:spacing w:line="300" w:lineRule="exact"/>
              <w:jc w:val="left"/>
              <w:rPr>
                <w:rFonts w:ascii="黑体" w:hAnsi="黑体" w:eastAsia="黑体"/>
                <w:sz w:val="21"/>
                <w:szCs w:val="21"/>
              </w:rPr>
            </w:pPr>
            <w:r>
              <w:rPr>
                <w:rFonts w:hint="eastAsia" w:ascii="黑体" w:hAnsi="黑体" w:eastAsia="黑体"/>
                <w:sz w:val="21"/>
                <w:szCs w:val="21"/>
              </w:rPr>
              <w:t>2.容器或包装袋是否存放于室内的专用场地。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物料运输、装卸、输送</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1"/>
                <w:szCs w:val="21"/>
              </w:rPr>
            </w:pPr>
            <w:r>
              <w:rPr>
                <w:rFonts w:hint="eastAsia" w:ascii="黑体" w:hAnsi="黑体" w:eastAsia="黑体"/>
                <w:sz w:val="21"/>
                <w:szCs w:val="21"/>
              </w:rPr>
              <w:t>粉状物料</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1.煤粉、粉煤灰、石灰、除尘灰、脱硫灰、原料药等粉状物料是否采用管状带式输送机、气力输送、真空罐车、密闭车厢等密闭方式运输和输送。</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2.装卸口是否配备密封防尘装置，是否存在直接卸落到地面的情况。</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3.物料上料、输送、转接、出料和扒渣等过程中的产尘点是否采取有效抑尘、集尘除尘措施。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块状、粒状、粘湿物料</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石子、页岩、煤矸石、煤、粘土、矿渣、铁精矿、磷矿石、硫精矿、焦炭、石油焦、煅后焦、烧结矿、球团矿、石灰石、白云石、铁合金、钢渣等块状、粒状或粘湿物料是否采用皮带通廊、封闭车厢等封闭方式或苫盖严密运输和输送。</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2.是否直接卸落至储存料场，装卸过程是否配备有效抑尘、集尘除尘设施。</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3.上料口是否设置在封闭料棚内，物料上料、输送、转接、出料和扒渣等过程中的产尘点是否采取有效抑尘、集尘除尘措施。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厂区道路</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1.厂区道路是否硬化、平整无破损，是否对厂区道路定期洒水清扫、无积尘。</w:t>
            </w:r>
          </w:p>
          <w:p>
            <w:pPr>
              <w:widowControl/>
              <w:spacing w:line="300" w:lineRule="exact"/>
              <w:jc w:val="left"/>
              <w:rPr>
                <w:rFonts w:ascii="黑体" w:hAnsi="黑体" w:eastAsia="黑体"/>
                <w:sz w:val="21"/>
                <w:szCs w:val="21"/>
              </w:rPr>
            </w:pPr>
            <w:r>
              <w:rPr>
                <w:rFonts w:hint="eastAsia" w:ascii="黑体" w:hAnsi="黑体" w:eastAsia="黑体"/>
                <w:sz w:val="21"/>
                <w:szCs w:val="21"/>
              </w:rPr>
              <w:t>2.厂区是否存在裸露空地，闲置裸露空地是否绿化或硬化。</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3.厂内运输是否存在物料抛洒和飞扬。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洗车设备</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钢铁、建材、有色、火电、铸造、炭素、采矿、煤化工（焦化）、化肥、危险废物治理等行业料场或厂区出入口是否配备车辆清洗装置或者采取其他控制措施，出场车辆是否干净、运输不起尘。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工艺过程颗粒物无组织排放</w:t>
            </w: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爆破、破碎、筛分、粉磨、混合等</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tabs>
                <w:tab w:val="left" w:pos="312"/>
              </w:tabs>
              <w:spacing w:line="300" w:lineRule="exact"/>
              <w:jc w:val="left"/>
              <w:rPr>
                <w:rFonts w:ascii="黑体" w:hAnsi="黑体" w:eastAsia="黑体"/>
                <w:sz w:val="21"/>
                <w:szCs w:val="21"/>
              </w:rPr>
            </w:pPr>
            <w:r>
              <w:rPr>
                <w:rFonts w:hint="eastAsia" w:ascii="黑体" w:hAnsi="黑体" w:eastAsia="黑体"/>
                <w:sz w:val="21"/>
                <w:szCs w:val="21"/>
              </w:rPr>
              <w:t>1.露天矿山开采过程中，是否采用湿式、干式（带收尘）凿岩方式，爆破后是否采取有效抑尘措施。</w:t>
            </w:r>
          </w:p>
          <w:p>
            <w:pPr>
              <w:widowControl/>
              <w:spacing w:line="300" w:lineRule="exact"/>
              <w:jc w:val="left"/>
              <w:rPr>
                <w:rFonts w:ascii="黑体" w:hAnsi="黑体" w:eastAsia="黑体"/>
                <w:sz w:val="21"/>
                <w:szCs w:val="21"/>
              </w:rPr>
            </w:pPr>
            <w:r>
              <w:rPr>
                <w:rFonts w:hint="eastAsia" w:ascii="黑体" w:hAnsi="黑体" w:eastAsia="黑体"/>
                <w:sz w:val="21"/>
                <w:szCs w:val="21"/>
              </w:rPr>
              <w:t>2.地下开采是否采用有效的抑尘措施，并加强通风井管控。</w:t>
            </w:r>
          </w:p>
          <w:p>
            <w:pPr>
              <w:widowControl/>
              <w:spacing w:line="300" w:lineRule="exact"/>
              <w:jc w:val="left"/>
              <w:rPr>
                <w:rFonts w:ascii="黑体" w:hAnsi="黑体" w:eastAsia="黑体"/>
                <w:sz w:val="21"/>
                <w:szCs w:val="21"/>
              </w:rPr>
            </w:pPr>
            <w:r>
              <w:rPr>
                <w:rFonts w:hint="eastAsia" w:ascii="黑体" w:hAnsi="黑体" w:eastAsia="黑体"/>
                <w:sz w:val="21"/>
                <w:szCs w:val="21"/>
              </w:rPr>
              <w:t>3.块状物料破碎、筛分、粉磨、混合等设备是否采取密闭措施，并配备有效集尘除尘设施。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z w:val="21"/>
                <w:szCs w:val="21"/>
              </w:rPr>
            </w:pPr>
            <w:r>
              <w:rPr>
                <w:rFonts w:hint="eastAsia" w:ascii="黑体" w:hAnsi="黑体" w:eastAsia="黑体"/>
                <w:sz w:val="21"/>
                <w:szCs w:val="21"/>
              </w:rPr>
              <w:t>焊接、切割、砂光、打磨、雕刻、镂铣等</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1.焊接环节是否根据作业点位数配备焊接烟尘净化器，或设置专门操作间并设置集气系统对焊接烟尘进行有效收集治理。</w:t>
            </w:r>
          </w:p>
          <w:p>
            <w:pPr>
              <w:widowControl/>
              <w:spacing w:line="300" w:lineRule="exact"/>
              <w:jc w:val="left"/>
              <w:rPr>
                <w:rFonts w:ascii="黑体" w:hAnsi="黑体" w:eastAsia="黑体"/>
                <w:sz w:val="21"/>
                <w:szCs w:val="21"/>
              </w:rPr>
            </w:pPr>
            <w:r>
              <w:rPr>
                <w:rFonts w:hint="eastAsia" w:ascii="黑体" w:hAnsi="黑体" w:eastAsia="黑体"/>
                <w:sz w:val="21"/>
                <w:szCs w:val="21"/>
              </w:rPr>
              <w:t>2.切割、砂光、打磨、雕刻、镂铣等环节是否配备有效集尘除尘设施。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浇注、落砂、旧砂再生、抛丸等</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napToGrid w:val="0"/>
                <w:kern w:val="0"/>
                <w:sz w:val="21"/>
                <w:szCs w:val="21"/>
              </w:rPr>
            </w:pPr>
            <w:r>
              <w:rPr>
                <w:rFonts w:hint="eastAsia" w:ascii="黑体" w:hAnsi="黑体" w:eastAsia="黑体"/>
                <w:snapToGrid w:val="0"/>
                <w:kern w:val="0"/>
                <w:sz w:val="21"/>
                <w:szCs w:val="21"/>
              </w:rPr>
              <w:t>1.浇注及冷却区是否设置有效集尘除尘设施。</w:t>
            </w:r>
          </w:p>
          <w:p>
            <w:pPr>
              <w:widowControl/>
              <w:snapToGrid w:val="0"/>
              <w:spacing w:line="300" w:lineRule="exact"/>
              <w:jc w:val="left"/>
              <w:rPr>
                <w:rFonts w:ascii="黑体" w:hAnsi="黑体" w:eastAsia="黑体"/>
                <w:sz w:val="21"/>
                <w:szCs w:val="21"/>
              </w:rPr>
            </w:pPr>
            <w:r>
              <w:rPr>
                <w:rFonts w:hint="eastAsia" w:ascii="黑体" w:hAnsi="黑体" w:eastAsia="黑体"/>
                <w:sz w:val="21"/>
                <w:szCs w:val="21"/>
              </w:rPr>
              <w:t>2.开箱、落砂、旧砂回用再生、抛丸等环节是否采取密闭措施，是否配备有效集尘除尘设施，需要就地开箱落砂的大、特大型铸件，是否采取铸型浇水湿法落砂、喷雾降尘或其他扬尘控制措施。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干燥、包装等</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1.干燥环节是否在密闭设备中进</w:t>
            </w:r>
            <w:r>
              <w:rPr>
                <w:rFonts w:hint="eastAsia" w:ascii="黑体" w:hAnsi="黑体" w:eastAsia="黑体"/>
                <w:snapToGrid w:val="0"/>
                <w:kern w:val="0"/>
                <w:sz w:val="21"/>
                <w:szCs w:val="21"/>
              </w:rPr>
              <w:t>行，非密闭设备是否在密闭空间内操作或进行局部气体收集，是否配备废气净化处理装置。</w:t>
            </w:r>
          </w:p>
          <w:p>
            <w:pPr>
              <w:widowControl/>
              <w:spacing w:line="300" w:lineRule="exact"/>
              <w:jc w:val="left"/>
              <w:rPr>
                <w:rFonts w:ascii="黑体" w:hAnsi="黑体" w:eastAsia="黑体"/>
                <w:sz w:val="21"/>
                <w:szCs w:val="21"/>
              </w:rPr>
            </w:pPr>
            <w:r>
              <w:rPr>
                <w:rFonts w:hint="eastAsia" w:ascii="黑体" w:hAnsi="黑体" w:eastAsia="黑体"/>
                <w:sz w:val="21"/>
                <w:szCs w:val="21"/>
              </w:rPr>
              <w:t>2.包装环节下料口和装车点位是否配备有效集尘除尘设施。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炉窑</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tabs>
                <w:tab w:val="center" w:pos="4153"/>
                <w:tab w:val="right" w:pos="8306"/>
              </w:tabs>
              <w:spacing w:line="300" w:lineRule="exact"/>
              <w:jc w:val="left"/>
              <w:rPr>
                <w:rFonts w:ascii="黑体" w:hAnsi="黑体" w:eastAsia="黑体"/>
                <w:snapToGrid w:val="0"/>
                <w:kern w:val="0"/>
                <w:sz w:val="21"/>
                <w:szCs w:val="21"/>
              </w:rPr>
            </w:pPr>
            <w:r>
              <w:rPr>
                <w:rFonts w:hint="eastAsia" w:ascii="黑体" w:hAnsi="黑体" w:eastAsia="黑体"/>
                <w:sz w:val="21"/>
                <w:szCs w:val="21"/>
              </w:rPr>
              <w:t>工业炉窑生产工艺产尘点是否采取密闭、封闭或设置集气罩等措施，产尘点及车间是否有可见烟粉尘外逸。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电解</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1.电解铝电解槽是否加罩封闭，并配备废气有效收集净化系统。</w:t>
            </w:r>
          </w:p>
          <w:p>
            <w:pPr>
              <w:widowControl/>
              <w:spacing w:line="300" w:lineRule="exact"/>
              <w:jc w:val="left"/>
              <w:rPr>
                <w:rFonts w:ascii="黑体" w:hAnsi="黑体" w:eastAsia="黑体"/>
                <w:sz w:val="21"/>
                <w:szCs w:val="21"/>
              </w:rPr>
            </w:pPr>
            <w:r>
              <w:rPr>
                <w:rFonts w:hint="eastAsia" w:ascii="黑体" w:hAnsi="黑体" w:eastAsia="黑体"/>
                <w:sz w:val="21"/>
                <w:szCs w:val="21"/>
              </w:rPr>
              <w:t>2.铜铅锌冶炼过程中的电解槽、电解液循环槽、电积槽等是否配备有效的酸雾收集净化设施，再生铅电解工序操作是否在负压区域进行。</w:t>
            </w:r>
          </w:p>
          <w:p>
            <w:pPr>
              <w:widowControl/>
              <w:spacing w:line="300" w:lineRule="exact"/>
              <w:jc w:val="left"/>
              <w:rPr>
                <w:rFonts w:ascii="黑体" w:hAnsi="黑体" w:eastAsia="黑体"/>
                <w:sz w:val="21"/>
                <w:szCs w:val="21"/>
              </w:rPr>
            </w:pPr>
            <w:r>
              <w:rPr>
                <w:rFonts w:hint="eastAsia" w:ascii="黑体" w:hAnsi="黑体" w:eastAsia="黑体"/>
                <w:sz w:val="21"/>
                <w:szCs w:val="21"/>
              </w:rPr>
              <w:t>3.生产过程中使用的溜槽是否加罩封闭。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3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危险废物</w:t>
            </w:r>
          </w:p>
          <w:p>
            <w:pPr>
              <w:widowControl/>
              <w:spacing w:line="300" w:lineRule="exact"/>
              <w:jc w:val="center"/>
              <w:rPr>
                <w:rFonts w:ascii="黑体" w:hAnsi="黑体" w:eastAsia="黑体"/>
                <w:sz w:val="21"/>
                <w:szCs w:val="21"/>
              </w:rPr>
            </w:pPr>
            <w:r>
              <w:rPr>
                <w:rFonts w:hint="eastAsia" w:ascii="黑体" w:hAnsi="黑体" w:eastAsia="黑体"/>
                <w:sz w:val="21"/>
                <w:szCs w:val="21"/>
              </w:rPr>
              <w:t>填埋</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危险废物填埋是否采取抑尘作业。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VOCs</w:t>
            </w:r>
          </w:p>
        </w:tc>
        <w:tc>
          <w:tcPr>
            <w:tcW w:w="892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参照《重点行业挥发性有机物综合治理方案》（环大气〔2019〕53号）的附件4和附件5执行。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2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1"/>
                <w:szCs w:val="21"/>
              </w:rPr>
            </w:pPr>
            <w:r>
              <w:rPr>
                <w:rFonts w:hint="eastAsia" w:ascii="黑体" w:hAnsi="黑体" w:eastAsia="黑体"/>
                <w:sz w:val="21"/>
                <w:szCs w:val="21"/>
              </w:rPr>
              <w:t>精细化管控</w:t>
            </w:r>
          </w:p>
        </w:tc>
        <w:tc>
          <w:tcPr>
            <w:tcW w:w="66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sz w:val="21"/>
                <w:szCs w:val="21"/>
              </w:rPr>
            </w:pPr>
            <w:r>
              <w:rPr>
                <w:rFonts w:hint="eastAsia" w:ascii="黑体" w:hAnsi="黑体" w:eastAsia="黑体"/>
                <w:sz w:val="21"/>
                <w:szCs w:val="21"/>
              </w:rPr>
              <w:t>1.针对各无组织排放环节，是否制定“一厂一策”深度治理方案。</w:t>
            </w:r>
          </w:p>
          <w:p>
            <w:pPr>
              <w:widowControl/>
              <w:spacing w:line="300" w:lineRule="exact"/>
              <w:jc w:val="left"/>
              <w:rPr>
                <w:rFonts w:ascii="黑体" w:hAnsi="黑体" w:eastAsia="黑体"/>
                <w:sz w:val="21"/>
                <w:szCs w:val="21"/>
              </w:rPr>
            </w:pPr>
            <w:r>
              <w:rPr>
                <w:rFonts w:hint="eastAsia" w:ascii="黑体" w:hAnsi="黑体" w:eastAsia="黑体"/>
                <w:sz w:val="21"/>
                <w:szCs w:val="21"/>
              </w:rPr>
              <w:t>2.是否制定无组织排放治理设施操作规程，并建立管理台账。</w:t>
            </w:r>
          </w:p>
        </w:tc>
      </w:tr>
    </w:tbl>
    <w:p>
      <w:pPr>
        <w:rPr>
          <w:rFonts w:ascii="仿宋_GB2312" w:eastAsia="仿宋_GB2312"/>
        </w:rPr>
      </w:pPr>
    </w:p>
    <w:p>
      <w:pPr>
        <w:rPr>
          <w:rFonts w:ascii="仿宋_GB2312" w:eastAsia="仿宋_GB2312"/>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D66F0"/>
    <w:rsid w:val="266D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2020-07-01T09:38:00Z</dcterms:created>
  <dc:creator>牛牛</dc:creator>
  <cp:lastModifiedBy>牛牛</cp:lastModifiedBy>
  <dcterms:modified xsi:type="dcterms:W3CDTF">2020-07-01T09:39:37Z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